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云南省丽江市华坪县石材产业深加工项目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项目所属</w:t>
            </w:r>
          </w:p>
          <w:p>
            <w:pPr>
              <w:spacing w:line="340" w:lineRule="exact"/>
              <w:jc w:val="center"/>
              <w:rPr>
                <w:b/>
                <w:kern w:val="0"/>
                <w:sz w:val="21"/>
                <w:szCs w:val="21"/>
              </w:rPr>
            </w:pPr>
            <w:r>
              <w:rPr>
                <w:rFonts w:hint="eastAsia"/>
                <w:b/>
                <w:kern w:val="0"/>
                <w:sz w:val="21"/>
                <w:szCs w:val="21"/>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color w:val="FF0000"/>
                <w:kern w:val="0"/>
                <w:sz w:val="21"/>
                <w:szCs w:val="21"/>
              </w:rPr>
            </w:pPr>
            <w:r>
              <w:rPr>
                <w:rFonts w:hint="eastAsia"/>
                <w:kern w:val="0"/>
                <w:sz w:val="21"/>
                <w:szCs w:val="21"/>
              </w:rPr>
              <w:t>矿业建材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丽江市华坪县范围内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华坪县境内石材资源十分丰富，经相关专家初步勘测，品种有花岗石、汉白玉、金线米黄、五彩石、高钙石灰石、高镁石等。其中高钙石储量为10亿吨以上，高镁石储量为30亿吨以上，花岗石储量为3亿立方米，矿床裸露地表，无裂纹，自然块度大，适合露天开采，品种多，色彩好。汉白玉储量约7500万立方米，抛光性好，透明度达100％，能开采出3立方米的高档石材，洁白高雅，结构细密、耐磨、耐腐蚀性强。金线米黄约5000万立方米，这些石材加工成板材是装修宾馆、家居、别墅、石材雕刻的上等材料，是华坪县目前未开发的重要资源之一。为充分利用华坪的石材资源开发出门类齐全的石材产品把资源优势转化为经济优势，促进经济向前发展，拟华坪县范围内建设石材产业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项目建设</w:t>
            </w:r>
          </w:p>
          <w:p>
            <w:pPr>
              <w:spacing w:line="340" w:lineRule="exact"/>
              <w:jc w:val="center"/>
              <w:rPr>
                <w:b/>
                <w:kern w:val="0"/>
                <w:sz w:val="21"/>
                <w:szCs w:val="21"/>
              </w:rPr>
            </w:pPr>
            <w:r>
              <w:rPr>
                <w:rFonts w:hint="eastAsia"/>
                <w:b/>
                <w:kern w:val="0"/>
                <w:sz w:val="21"/>
                <w:szCs w:val="21"/>
              </w:rPr>
              <w:t>内容</w:t>
            </w:r>
          </w:p>
        </w:tc>
        <w:tc>
          <w:tcPr>
            <w:tcW w:w="6974" w:type="dxa"/>
            <w:tcBorders>
              <w:top w:val="single" w:color="auto" w:sz="4" w:space="0"/>
              <w:left w:val="single" w:color="auto" w:sz="4" w:space="0"/>
              <w:bottom w:val="single" w:color="auto" w:sz="4" w:space="0"/>
              <w:right w:val="single" w:color="auto" w:sz="4" w:space="0"/>
            </w:tcBorders>
          </w:tcPr>
          <w:p>
            <w:pPr>
              <w:spacing w:line="300" w:lineRule="auto"/>
              <w:rPr>
                <w:kern w:val="0"/>
                <w:sz w:val="21"/>
                <w:szCs w:val="21"/>
              </w:rPr>
            </w:pPr>
            <w:r>
              <w:rPr>
                <w:rFonts w:hint="eastAsia"/>
                <w:kern w:val="0"/>
                <w:sz w:val="21"/>
                <w:szCs w:val="21"/>
              </w:rPr>
              <w:t>建设规模：拟建设年产200万平方米的大理石，米黄石和汉白玉板材生产线和年产100万平方米花岗石板材生产线以及各种异型物件雕刻、工艺品加工等。</w:t>
            </w:r>
          </w:p>
          <w:p>
            <w:pPr>
              <w:spacing w:line="300" w:lineRule="auto"/>
              <w:rPr>
                <w:kern w:val="0"/>
                <w:sz w:val="21"/>
                <w:szCs w:val="21"/>
              </w:rPr>
            </w:pPr>
            <w:r>
              <w:rPr>
                <w:rFonts w:hint="eastAsia"/>
                <w:kern w:val="0"/>
                <w:sz w:val="21"/>
                <w:szCs w:val="21"/>
              </w:rPr>
              <w:t>建设期限：2年</w:t>
            </w:r>
          </w:p>
          <w:p>
            <w:pPr>
              <w:spacing w:line="300" w:lineRule="auto"/>
              <w:rPr>
                <w:kern w:val="0"/>
                <w:sz w:val="21"/>
                <w:szCs w:val="21"/>
              </w:rPr>
            </w:pPr>
            <w:r>
              <w:rPr>
                <w:rFonts w:hint="eastAsia"/>
                <w:kern w:val="0"/>
                <w:sz w:val="21"/>
                <w:szCs w:val="21"/>
              </w:rPr>
              <w:t>占地面积：1000亩。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00" w:lineRule="auto"/>
              <w:rPr>
                <w:kern w:val="0"/>
                <w:sz w:val="21"/>
                <w:szCs w:val="21"/>
              </w:rPr>
            </w:pPr>
            <w:r>
              <w:rPr>
                <w:rFonts w:hint="eastAsia"/>
                <w:kern w:val="0"/>
                <w:sz w:val="21"/>
                <w:szCs w:val="21"/>
              </w:rPr>
              <w:t>1.项目优势与机会：项目根据国家发改委40号令“产业调整指导目录（2005）鼓励类第十项，第16条规定和华坪县丰富的石材资源”《华坪县十三五规划纲要》、《华坪县工业发展规划》以及现有市场需求情况拟建该项目。</w:t>
            </w:r>
          </w:p>
          <w:p>
            <w:pPr>
              <w:spacing w:line="300" w:lineRule="auto"/>
              <w:rPr>
                <w:kern w:val="0"/>
                <w:sz w:val="21"/>
                <w:szCs w:val="21"/>
              </w:rPr>
            </w:pPr>
            <w:r>
              <w:rPr>
                <w:rFonts w:hint="eastAsia"/>
                <w:kern w:val="0"/>
                <w:sz w:val="21"/>
                <w:szCs w:val="21"/>
              </w:rPr>
              <w:t>2.项目产业配套情况：华坪县建设石材产业园，首先是具备储量较大的石材资源所决定的，政府组织近100多名人员到四川雅安等地进行为期半年的技术培训，建立了三条花岗石板材生产线，培养了一批熟练的石材加工技术人员和产品营销队伍，为华坪建立石材产业园进行石材加工打下良好的基础。华坪县境内的花岗石储量3亿立方米，汉白玉储量为7500万立方米，金线米黄储量约5000万立方米，还有五彩石、松香玉等石材资源能满足石材加工的需求石材产业园初步选在华坪县工业园区石龙坝片区观音岩路边，距离丽攀高速路接口约2公里，距离攀枝花机场70公里，格里坪火车站约24公里，距昆明约360公里，通往矿山的公路四通八达，为产品的运输创造了较好的条件。</w:t>
            </w:r>
          </w:p>
          <w:p>
            <w:pPr>
              <w:spacing w:line="300" w:lineRule="auto"/>
              <w:rPr>
                <w:kern w:val="0"/>
                <w:sz w:val="21"/>
                <w:szCs w:val="21"/>
              </w:rPr>
            </w:pPr>
            <w:r>
              <w:rPr>
                <w:rFonts w:hint="eastAsia"/>
                <w:kern w:val="0"/>
                <w:sz w:val="21"/>
                <w:szCs w:val="21"/>
              </w:rPr>
              <w:t>3.项目前期准备情况：华坪县政府已请云南省地勘院的相关专家到华坪县各乡镇进行石材资源的地质普查。县内已有三家企业正在开展石材加工的前期工作，同时着手项目的可研、规划、设计、布局等前期工作。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00" w:lineRule="auto"/>
              <w:rPr>
                <w:kern w:val="0"/>
                <w:sz w:val="21"/>
                <w:szCs w:val="21"/>
              </w:rPr>
            </w:pPr>
            <w:r>
              <w:rPr>
                <w:rFonts w:hint="eastAsia"/>
                <w:kern w:val="0"/>
                <w:sz w:val="21"/>
                <w:szCs w:val="21"/>
              </w:rPr>
              <w:t>投资估算：估算总投资3亿元人民币。</w:t>
            </w:r>
          </w:p>
          <w:p>
            <w:pPr>
              <w:spacing w:line="300" w:lineRule="auto"/>
              <w:rPr>
                <w:kern w:val="0"/>
                <w:sz w:val="21"/>
                <w:szCs w:val="21"/>
              </w:rPr>
            </w:pPr>
            <w:r>
              <w:rPr>
                <w:rFonts w:hint="eastAsia"/>
                <w:kern w:val="0"/>
                <w:sz w:val="21"/>
                <w:szCs w:val="21"/>
              </w:rPr>
              <w:t>资金筹措：独资、合资。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00" w:lineRule="auto"/>
              <w:rPr>
                <w:kern w:val="0"/>
                <w:sz w:val="21"/>
                <w:szCs w:val="21"/>
              </w:rPr>
            </w:pPr>
            <w:r>
              <w:rPr>
                <w:rFonts w:hint="eastAsia"/>
                <w:kern w:val="0"/>
                <w:sz w:val="21"/>
                <w:szCs w:val="21"/>
              </w:rPr>
              <w:t>根据云南省人民政府关于加快石材产业发展意见云政发（2011）23号文件的相关规定，可享受国家、省、市、县有明文规定的相关政策外，县内还根据投资的大小，在土地、电价等方面给予一定的优惠政策。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石材产业是一个既古老又新兴的可持续发展产业，具有低能耗、低排放、高就业的特点，华坪县的石材产业由于颜色品种独特，市场前景广阔，将规划约1000亩土地作为石材产业园，把所有石材加工企业集中在园区，一方面减少水电路基础设施的投入，共享基础设施的成果；另一方面，可建立石材产品多样化，根据市场的需求生产具有竞争力的石材产品，改变分散、单一的局面，同时又能解决农村剩余劳动力就业，促进农民脱贫致富，对发展地方经济起着重要作用。</w:t>
            </w:r>
          </w:p>
          <w:p>
            <w:pPr>
              <w:spacing w:line="300" w:lineRule="auto"/>
              <w:rPr>
                <w:kern w:val="0"/>
                <w:sz w:val="21"/>
                <w:szCs w:val="21"/>
              </w:rPr>
            </w:pPr>
            <w:r>
              <w:rPr>
                <w:rFonts w:hint="eastAsia"/>
                <w:kern w:val="0"/>
                <w:sz w:val="21"/>
                <w:szCs w:val="21"/>
              </w:rPr>
              <w:t>石材产业园的建设重点是把分散的资金、技术、人才、整合起来，向规模花、集群化方向发展，不断挖掘经济发展潜力，建立较好的市场。石材产业作为一项新兴的基础产业，具有能耗低、污染小，随着建筑市场向高标准、豪华型方向发展，这种既美观又环保的石材产品深受广大消费者的欢迎，具有较好的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经济效益：预计项目投资回收期 6年（含建设期）。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00" w:lineRule="auto"/>
              <w:rPr>
                <w:kern w:val="0"/>
                <w:sz w:val="21"/>
                <w:szCs w:val="21"/>
              </w:rPr>
            </w:pPr>
            <w:r>
              <w:rPr>
                <w:rFonts w:hint="eastAsia"/>
                <w:kern w:val="0"/>
                <w:sz w:val="21"/>
                <w:szCs w:val="21"/>
              </w:rPr>
              <w:t>独资、合资、合作或其它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sz w:val="21"/>
                <w:szCs w:val="21"/>
              </w:rPr>
            </w:pPr>
            <w:r>
              <w:rPr>
                <w:rFonts w:hint="eastAsia"/>
                <w:b/>
                <w:kern w:val="0"/>
                <w:sz w:val="21"/>
                <w:szCs w:val="21"/>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kern w:val="0"/>
                <w:sz w:val="21"/>
                <w:szCs w:val="21"/>
              </w:rPr>
            </w:pPr>
            <w:r>
              <w:rPr>
                <w:rFonts w:hint="eastAsia"/>
                <w:kern w:val="0"/>
                <w:sz w:val="21"/>
                <w:szCs w:val="21"/>
              </w:rPr>
              <w:t>联系单位：云南省沪滇合作促进会</w:t>
            </w:r>
          </w:p>
          <w:p>
            <w:pPr>
              <w:spacing w:line="360" w:lineRule="auto"/>
              <w:rPr>
                <w:rFonts w:hint="eastAsia"/>
                <w:kern w:val="0"/>
                <w:sz w:val="21"/>
                <w:szCs w:val="21"/>
              </w:rPr>
            </w:pPr>
            <w:r>
              <w:rPr>
                <w:rFonts w:hint="eastAsia"/>
                <w:kern w:val="0"/>
                <w:sz w:val="21"/>
                <w:szCs w:val="21"/>
              </w:rPr>
              <w:t>联 系 人：崔先生</w:t>
            </w:r>
          </w:p>
          <w:p>
            <w:pPr>
              <w:spacing w:line="360" w:lineRule="auto"/>
              <w:rPr>
                <w:rFonts w:hint="eastAsia"/>
                <w:kern w:val="0"/>
                <w:sz w:val="21"/>
                <w:szCs w:val="21"/>
              </w:rPr>
            </w:pPr>
            <w:r>
              <w:rPr>
                <w:rFonts w:hint="eastAsia"/>
                <w:kern w:val="0"/>
                <w:sz w:val="21"/>
                <w:szCs w:val="21"/>
              </w:rPr>
              <w:t>联系电话：18988295667</w:t>
            </w:r>
          </w:p>
          <w:p>
            <w:pPr>
              <w:spacing w:line="360" w:lineRule="auto"/>
              <w:rPr>
                <w:rFonts w:hint="eastAsia"/>
                <w:kern w:val="0"/>
                <w:sz w:val="21"/>
                <w:szCs w:val="21"/>
              </w:rPr>
            </w:pPr>
            <w:r>
              <w:rPr>
                <w:rFonts w:hint="eastAsia"/>
                <w:kern w:val="0"/>
                <w:sz w:val="21"/>
                <w:szCs w:val="21"/>
              </w:rPr>
              <w:t xml:space="preserve">传 </w:t>
            </w:r>
            <w:r>
              <w:rPr>
                <w:rFonts w:hint="eastAsia"/>
                <w:kern w:val="0"/>
                <w:sz w:val="21"/>
                <w:szCs w:val="21"/>
                <w:lang w:val="en-US" w:eastAsia="zh-CN"/>
              </w:rPr>
              <w:t xml:space="preserve">   </w:t>
            </w:r>
            <w:r>
              <w:rPr>
                <w:rFonts w:hint="eastAsia"/>
                <w:kern w:val="0"/>
                <w:sz w:val="21"/>
                <w:szCs w:val="21"/>
              </w:rPr>
              <w:t>真：0871-63310506</w:t>
            </w:r>
          </w:p>
          <w:p>
            <w:pPr>
              <w:spacing w:line="300" w:lineRule="auto"/>
              <w:rPr>
                <w:kern w:val="0"/>
                <w:sz w:val="21"/>
                <w:szCs w:val="21"/>
              </w:rPr>
            </w:pPr>
            <w:r>
              <w:rPr>
                <w:rFonts w:hint="eastAsia"/>
                <w:kern w:val="0"/>
                <w:sz w:val="21"/>
                <w:szCs w:val="21"/>
              </w:rPr>
              <w:t>电子邮箱：18988295667@qq.com</w:t>
            </w:r>
          </w:p>
        </w:tc>
      </w:tr>
    </w:tbl>
    <w:p>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81019"/>
    <w:rsid w:val="000C2C11"/>
    <w:rsid w:val="00104B0D"/>
    <w:rsid w:val="00132310"/>
    <w:rsid w:val="001434F7"/>
    <w:rsid w:val="001A409F"/>
    <w:rsid w:val="001A7CC7"/>
    <w:rsid w:val="00252E89"/>
    <w:rsid w:val="00266743"/>
    <w:rsid w:val="00296D43"/>
    <w:rsid w:val="002D25BB"/>
    <w:rsid w:val="00320C6C"/>
    <w:rsid w:val="003F4388"/>
    <w:rsid w:val="004179A8"/>
    <w:rsid w:val="00445569"/>
    <w:rsid w:val="0047658B"/>
    <w:rsid w:val="0047695A"/>
    <w:rsid w:val="004E07AE"/>
    <w:rsid w:val="005266CD"/>
    <w:rsid w:val="0054537E"/>
    <w:rsid w:val="00572800"/>
    <w:rsid w:val="005C441F"/>
    <w:rsid w:val="005E5CCD"/>
    <w:rsid w:val="0064434A"/>
    <w:rsid w:val="00655E65"/>
    <w:rsid w:val="00662F21"/>
    <w:rsid w:val="00684331"/>
    <w:rsid w:val="006D0ADC"/>
    <w:rsid w:val="0076377A"/>
    <w:rsid w:val="00832AF5"/>
    <w:rsid w:val="00850C90"/>
    <w:rsid w:val="00874796"/>
    <w:rsid w:val="00890335"/>
    <w:rsid w:val="008D7333"/>
    <w:rsid w:val="00931C38"/>
    <w:rsid w:val="009759DD"/>
    <w:rsid w:val="00A26A9B"/>
    <w:rsid w:val="00A90B7A"/>
    <w:rsid w:val="00AE39C8"/>
    <w:rsid w:val="00AF5E41"/>
    <w:rsid w:val="00B361ED"/>
    <w:rsid w:val="00B71544"/>
    <w:rsid w:val="00B73DA3"/>
    <w:rsid w:val="00BB4BAD"/>
    <w:rsid w:val="00BF7AE6"/>
    <w:rsid w:val="00C46C9B"/>
    <w:rsid w:val="00C46E8D"/>
    <w:rsid w:val="00CB79B2"/>
    <w:rsid w:val="00CF5EF9"/>
    <w:rsid w:val="00D63C60"/>
    <w:rsid w:val="00D8343F"/>
    <w:rsid w:val="00DF4B9A"/>
    <w:rsid w:val="00E06634"/>
    <w:rsid w:val="00E64F6F"/>
    <w:rsid w:val="00EA4AC2"/>
    <w:rsid w:val="00EC2E21"/>
    <w:rsid w:val="00F23E11"/>
    <w:rsid w:val="00F55FA7"/>
    <w:rsid w:val="00F65A7F"/>
    <w:rsid w:val="00FC2B2B"/>
    <w:rsid w:val="00FF280F"/>
    <w:rsid w:val="0BE35CAC"/>
    <w:rsid w:val="48B52322"/>
    <w:rsid w:val="51A51E28"/>
    <w:rsid w:val="5D9B2448"/>
    <w:rsid w:val="750A13FE"/>
    <w:rsid w:val="7F1C162E"/>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249</Words>
  <Characters>1420</Characters>
  <Lines>11</Lines>
  <Paragraphs>3</Paragraphs>
  <TotalTime>0</TotalTime>
  <ScaleCrop>false</ScaleCrop>
  <LinksUpToDate>false</LinksUpToDate>
  <CharactersWithSpaces>1666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shen max</dc:creator>
  <cp:lastModifiedBy>Administrator</cp:lastModifiedBy>
  <dcterms:modified xsi:type="dcterms:W3CDTF">2016-12-09T06:45:51Z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